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6B" w:rsidRPr="003E0C18" w:rsidRDefault="00553C02" w:rsidP="00803266">
      <w:pPr>
        <w:pStyle w:val="LabTitle"/>
        <w:jc w:val="both"/>
        <w:rPr>
          <w:lang w:val="pl-PL"/>
        </w:rPr>
      </w:pPr>
      <w:r>
        <w:rPr>
          <w:lang w:val="pl-PL"/>
        </w:rPr>
        <w:t>Ćwiczenie</w:t>
      </w:r>
      <w:r w:rsidR="00EC3246" w:rsidRPr="003E0C18">
        <w:rPr>
          <w:lang w:val="pl-PL"/>
        </w:rPr>
        <w:t xml:space="preserve"> </w:t>
      </w:r>
      <w:r w:rsidR="00803266">
        <w:rPr>
          <w:lang w:val="pl-PL"/>
        </w:rPr>
        <w:t>–</w:t>
      </w:r>
      <w:r w:rsidR="00EC3246" w:rsidRPr="003E0C18">
        <w:rPr>
          <w:lang w:val="pl-PL"/>
        </w:rPr>
        <w:t xml:space="preserve"> Instalowanie protokołu IPv6 i przypisywanie adresów hostów w systemie Windows XP </w:t>
      </w:r>
    </w:p>
    <w:p w:rsidR="0013367F" w:rsidRPr="003E0C18" w:rsidRDefault="00EC3246" w:rsidP="003E0C18">
      <w:pPr>
        <w:pStyle w:val="LabSection"/>
        <w:jc w:val="both"/>
        <w:rPr>
          <w:lang w:val="pl-PL"/>
        </w:rPr>
      </w:pPr>
      <w:r w:rsidRPr="003E0C18">
        <w:rPr>
          <w:lang w:val="pl-PL"/>
        </w:rPr>
        <w:t>Cele</w:t>
      </w:r>
    </w:p>
    <w:p w:rsidR="0013367F" w:rsidRPr="003E0C18" w:rsidRDefault="00EC3246" w:rsidP="003E0C18">
      <w:pPr>
        <w:pStyle w:val="BodyTextL25Bold"/>
        <w:jc w:val="both"/>
        <w:rPr>
          <w:lang w:val="pl-PL"/>
        </w:rPr>
      </w:pPr>
      <w:r w:rsidRPr="003E0C18">
        <w:rPr>
          <w:lang w:val="pl-PL"/>
        </w:rPr>
        <w:t xml:space="preserve">Część 1: </w:t>
      </w:r>
      <w:r w:rsidR="00BE6623">
        <w:rPr>
          <w:lang w:val="pl-PL"/>
        </w:rPr>
        <w:t>Instalowanie protokołu</w:t>
      </w:r>
      <w:r w:rsidRPr="003E0C18">
        <w:rPr>
          <w:lang w:val="pl-PL"/>
        </w:rPr>
        <w:t xml:space="preserve"> IPv6 na komputerze PC z systemem Windows XP</w:t>
      </w:r>
    </w:p>
    <w:p w:rsidR="0013367F" w:rsidRPr="003E0C18" w:rsidRDefault="00BE6623" w:rsidP="003E0C18">
      <w:pPr>
        <w:pStyle w:val="Bulletlevel1"/>
        <w:jc w:val="both"/>
        <w:rPr>
          <w:lang w:val="pl-PL"/>
        </w:rPr>
      </w:pPr>
      <w:r>
        <w:rPr>
          <w:lang w:val="pl-PL"/>
        </w:rPr>
        <w:t>Instalowanie</w:t>
      </w:r>
      <w:r w:rsidR="00EC3246" w:rsidRPr="003E0C18">
        <w:rPr>
          <w:lang w:val="pl-PL"/>
        </w:rPr>
        <w:t xml:space="preserve"> </w:t>
      </w:r>
      <w:r>
        <w:rPr>
          <w:lang w:val="pl-PL"/>
        </w:rPr>
        <w:t>protokołu</w:t>
      </w:r>
      <w:r w:rsidR="00EC3246" w:rsidRPr="003E0C18">
        <w:rPr>
          <w:lang w:val="pl-PL"/>
        </w:rPr>
        <w:t xml:space="preserve"> IPv6.</w:t>
      </w:r>
    </w:p>
    <w:p w:rsidR="0013367F" w:rsidRPr="003E0C18" w:rsidRDefault="00EC3246" w:rsidP="003E0C18">
      <w:pPr>
        <w:pStyle w:val="Bulletlevel1"/>
        <w:jc w:val="both"/>
        <w:rPr>
          <w:lang w:val="pl-PL"/>
        </w:rPr>
      </w:pPr>
      <w:r w:rsidRPr="003E0C18">
        <w:rPr>
          <w:lang w:val="pl-PL"/>
        </w:rPr>
        <w:t>Sprawd</w:t>
      </w:r>
      <w:r w:rsidR="00BE6623">
        <w:rPr>
          <w:lang w:val="pl-PL"/>
        </w:rPr>
        <w:t>zanie informacji dotyczących</w:t>
      </w:r>
      <w:r w:rsidRPr="003E0C18">
        <w:rPr>
          <w:lang w:val="pl-PL"/>
        </w:rPr>
        <w:t xml:space="preserve"> adresów IPv6.</w:t>
      </w:r>
    </w:p>
    <w:p w:rsidR="0013367F" w:rsidRPr="003E0C18" w:rsidRDefault="00BE6623" w:rsidP="003E0C18">
      <w:pPr>
        <w:pStyle w:val="BodyTextL25Bold"/>
        <w:jc w:val="both"/>
        <w:rPr>
          <w:lang w:val="pl-PL"/>
        </w:rPr>
      </w:pPr>
      <w:r>
        <w:rPr>
          <w:lang w:val="pl-PL"/>
        </w:rPr>
        <w:t>Część 2: Używanie</w:t>
      </w:r>
      <w:r w:rsidR="00EC3246" w:rsidRPr="003E0C18">
        <w:rPr>
          <w:lang w:val="pl-PL"/>
        </w:rPr>
        <w:t xml:space="preserve"> narzędzia wiersza poleceń (</w:t>
      </w:r>
      <w:proofErr w:type="spellStart"/>
      <w:r w:rsidR="00EC3246" w:rsidRPr="003E0C18">
        <w:rPr>
          <w:lang w:val="pl-PL"/>
        </w:rPr>
        <w:t>netsh</w:t>
      </w:r>
      <w:proofErr w:type="spellEnd"/>
      <w:r w:rsidR="00EC3246" w:rsidRPr="003E0C18">
        <w:rPr>
          <w:lang w:val="pl-PL"/>
        </w:rPr>
        <w:t>)</w:t>
      </w:r>
    </w:p>
    <w:p w:rsidR="0013367F" w:rsidRPr="003E0C18" w:rsidRDefault="00BE6623" w:rsidP="003E0C18">
      <w:pPr>
        <w:pStyle w:val="Bulletlevel1"/>
        <w:jc w:val="both"/>
        <w:rPr>
          <w:lang w:val="pl-PL"/>
        </w:rPr>
      </w:pPr>
      <w:r>
        <w:rPr>
          <w:lang w:val="pl-PL"/>
        </w:rPr>
        <w:t>Praca w</w:t>
      </w:r>
      <w:r w:rsidR="00EC3246" w:rsidRPr="003E0C18">
        <w:rPr>
          <w:lang w:val="pl-PL"/>
        </w:rPr>
        <w:t xml:space="preserve"> wiersz</w:t>
      </w:r>
      <w:r>
        <w:rPr>
          <w:lang w:val="pl-PL"/>
        </w:rPr>
        <w:t xml:space="preserve">u </w:t>
      </w:r>
      <w:r w:rsidR="00EC3246" w:rsidRPr="003E0C18">
        <w:rPr>
          <w:lang w:val="pl-PL"/>
        </w:rPr>
        <w:t xml:space="preserve">poleceń sieciowych </w:t>
      </w:r>
      <w:proofErr w:type="spellStart"/>
      <w:r w:rsidR="00EC3246" w:rsidRPr="003E0C18">
        <w:rPr>
          <w:b/>
          <w:lang w:val="pl-PL"/>
        </w:rPr>
        <w:t>netsh</w:t>
      </w:r>
      <w:proofErr w:type="spellEnd"/>
      <w:r w:rsidR="00EC3246" w:rsidRPr="003E0C18">
        <w:rPr>
          <w:lang w:val="pl-PL"/>
        </w:rPr>
        <w:t>.</w:t>
      </w:r>
    </w:p>
    <w:p w:rsidR="0013367F" w:rsidRPr="003E0C18" w:rsidRDefault="00BE6623" w:rsidP="003E0C18">
      <w:pPr>
        <w:pStyle w:val="Bulletlevel1"/>
        <w:jc w:val="both"/>
        <w:rPr>
          <w:lang w:val="pl-PL"/>
        </w:rPr>
      </w:pPr>
      <w:r>
        <w:rPr>
          <w:lang w:val="pl-PL"/>
        </w:rPr>
        <w:t>Skonfigurowanie</w:t>
      </w:r>
      <w:r w:rsidR="00EC3246" w:rsidRPr="003E0C18">
        <w:rPr>
          <w:lang w:val="pl-PL"/>
        </w:rPr>
        <w:t xml:space="preserve"> adres</w:t>
      </w:r>
      <w:r>
        <w:rPr>
          <w:lang w:val="pl-PL"/>
        </w:rPr>
        <w:t>u statycznego</w:t>
      </w:r>
      <w:r w:rsidR="00EC3246" w:rsidRPr="003E0C18">
        <w:rPr>
          <w:lang w:val="pl-PL"/>
        </w:rPr>
        <w:t xml:space="preserve"> IPv6 dla interfejsu sieciowego w lokalnej sieci (LAN).</w:t>
      </w:r>
    </w:p>
    <w:p w:rsidR="0013367F" w:rsidRPr="003E0C18" w:rsidRDefault="00BE6623" w:rsidP="003E0C18">
      <w:pPr>
        <w:pStyle w:val="Bulletlevel1"/>
        <w:jc w:val="both"/>
        <w:rPr>
          <w:lang w:val="pl-PL"/>
        </w:rPr>
      </w:pPr>
      <w:r>
        <w:rPr>
          <w:lang w:val="pl-PL"/>
        </w:rPr>
        <w:t>Wyjście</w:t>
      </w:r>
      <w:r w:rsidR="00EC3246" w:rsidRPr="003E0C18">
        <w:rPr>
          <w:lang w:val="pl-PL"/>
        </w:rPr>
        <w:t xml:space="preserve"> z narzędzia </w:t>
      </w:r>
      <w:proofErr w:type="spellStart"/>
      <w:proofErr w:type="gramStart"/>
      <w:r w:rsidR="00EC3246" w:rsidRPr="003E0C18">
        <w:rPr>
          <w:b/>
          <w:lang w:val="pl-PL"/>
        </w:rPr>
        <w:t>netsh</w:t>
      </w:r>
      <w:proofErr w:type="spellEnd"/>
      <w:r w:rsidR="00EC3246" w:rsidRPr="003E0C18">
        <w:rPr>
          <w:lang w:val="pl-PL"/>
        </w:rPr>
        <w:t xml:space="preserve"> .</w:t>
      </w:r>
      <w:proofErr w:type="gramEnd"/>
    </w:p>
    <w:p w:rsidR="0013367F" w:rsidRPr="003E0C18" w:rsidRDefault="00EC3246" w:rsidP="003E0C18">
      <w:pPr>
        <w:pStyle w:val="Bulletlevel1"/>
        <w:jc w:val="both"/>
        <w:rPr>
          <w:lang w:val="pl-PL"/>
        </w:rPr>
      </w:pPr>
      <w:r w:rsidRPr="003E0C18">
        <w:rPr>
          <w:lang w:val="pl-PL"/>
        </w:rPr>
        <w:t>Wyświetl</w:t>
      </w:r>
      <w:r w:rsidR="00BE6623">
        <w:rPr>
          <w:lang w:val="pl-PL"/>
        </w:rPr>
        <w:t>enie informacji</w:t>
      </w:r>
      <w:r w:rsidRPr="003E0C18">
        <w:rPr>
          <w:lang w:val="pl-PL"/>
        </w:rPr>
        <w:t xml:space="preserve"> o adresie IPv6 za pomocą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BE6623" w:rsidP="003E0C18">
      <w:pPr>
        <w:pStyle w:val="Bulletlevel1"/>
        <w:jc w:val="both"/>
        <w:rPr>
          <w:lang w:val="pl-PL"/>
        </w:rPr>
      </w:pPr>
      <w:r>
        <w:rPr>
          <w:lang w:val="pl-PL"/>
        </w:rPr>
        <w:t>Wykonywanie instrukcji za pomocą narzędzia</w:t>
      </w:r>
      <w:r w:rsidR="00EC3246" w:rsidRPr="003E0C18">
        <w:rPr>
          <w:lang w:val="pl-PL"/>
        </w:rPr>
        <w:t xml:space="preserve"> </w:t>
      </w:r>
      <w:proofErr w:type="spellStart"/>
      <w:r w:rsidR="00EC3246" w:rsidRPr="003E0C18">
        <w:rPr>
          <w:b/>
          <w:lang w:val="pl-PL"/>
        </w:rPr>
        <w:t>netsh</w:t>
      </w:r>
      <w:proofErr w:type="spellEnd"/>
      <w:r w:rsidR="00EC3246" w:rsidRPr="003E0C18">
        <w:rPr>
          <w:lang w:val="pl-PL"/>
        </w:rPr>
        <w:t xml:space="preserve"> w oknie wiersza poleceń.</w:t>
      </w:r>
    </w:p>
    <w:p w:rsidR="0013367F" w:rsidRPr="003E0C18" w:rsidRDefault="00EC3246" w:rsidP="003E0C18">
      <w:pPr>
        <w:pStyle w:val="LabSection"/>
        <w:jc w:val="both"/>
        <w:rPr>
          <w:lang w:val="pl-PL"/>
        </w:rPr>
      </w:pPr>
      <w:r w:rsidRPr="003E0C18">
        <w:rPr>
          <w:lang w:val="pl-PL"/>
        </w:rPr>
        <w:t>Scenariusz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Protokół internetowy w wersji 6 (IPv6) domyślnie nie jest dostępny w systemie Windows XP. IPv6 </w:t>
      </w:r>
      <w:r w:rsidR="009861D2">
        <w:rPr>
          <w:lang w:val="pl-PL"/>
        </w:rPr>
        <w:t xml:space="preserve">jest zaimplementowany </w:t>
      </w:r>
      <w:r w:rsidRPr="003E0C18">
        <w:rPr>
          <w:lang w:val="pl-PL"/>
        </w:rPr>
        <w:t xml:space="preserve">dla systemu Windows XP, ale jego uruchomienie wymaga zainstalowania protokołu IPv6. XP nie </w:t>
      </w:r>
      <w:r w:rsidR="00F03F78">
        <w:rPr>
          <w:lang w:val="pl-PL"/>
        </w:rPr>
        <w:t>umożliwia</w:t>
      </w:r>
      <w:r w:rsidRPr="003E0C18">
        <w:rPr>
          <w:lang w:val="pl-PL"/>
        </w:rPr>
        <w:t xml:space="preserve"> konfiguracji </w:t>
      </w:r>
      <w:r w:rsidR="00F03F78" w:rsidRPr="003E0C18">
        <w:rPr>
          <w:lang w:val="pl-PL"/>
        </w:rPr>
        <w:t xml:space="preserve">statycznych </w:t>
      </w:r>
      <w:r w:rsidRPr="003E0C18">
        <w:rPr>
          <w:lang w:val="pl-PL"/>
        </w:rPr>
        <w:t xml:space="preserve">adresów </w:t>
      </w:r>
      <w:proofErr w:type="gramStart"/>
      <w:r w:rsidRPr="003E0C18">
        <w:rPr>
          <w:lang w:val="pl-PL"/>
        </w:rPr>
        <w:t>IPv6  za</w:t>
      </w:r>
      <w:proofErr w:type="gramEnd"/>
      <w:r w:rsidRPr="003E0C18">
        <w:rPr>
          <w:lang w:val="pl-PL"/>
        </w:rPr>
        <w:t xml:space="preserve"> pomocą graficznego interfejsu użytkownika (GUI), dlatego wszystkie statyczne przypisania adresu IPv6 należy wykonać przy użyciu narzędzia powłoki </w:t>
      </w:r>
      <w:r w:rsidR="00F03F78">
        <w:rPr>
          <w:lang w:val="pl-PL"/>
        </w:rPr>
        <w:t xml:space="preserve">sieciowej </w:t>
      </w:r>
      <w:r w:rsidRPr="003E0C18">
        <w:rPr>
          <w:lang w:val="pl-PL"/>
        </w:rPr>
        <w:t xml:space="preserve"> (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).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>W tym ćwiczeniu będziesz instalować protokół IPv6 na komputerze PC z systemem Windows XP. Następnie będziesz konfigurować statyczny adres IPv6 dla interfejsu LAN.</w:t>
      </w:r>
    </w:p>
    <w:p w:rsidR="0013367F" w:rsidRPr="003E0C18" w:rsidRDefault="00EC3246" w:rsidP="003E0C18">
      <w:pPr>
        <w:pStyle w:val="LabSection"/>
        <w:jc w:val="both"/>
        <w:rPr>
          <w:lang w:val="pl-PL"/>
        </w:rPr>
      </w:pPr>
      <w:r w:rsidRPr="003E0C18">
        <w:rPr>
          <w:lang w:val="pl-PL"/>
        </w:rPr>
        <w:t>Wymagane wyposażenie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>1 komputer PC z systemem Windows XP</w:t>
      </w:r>
    </w:p>
    <w:p w:rsidR="0013367F" w:rsidRPr="003E0C18" w:rsidRDefault="00BE6623" w:rsidP="009D1D75">
      <w:pPr>
        <w:pStyle w:val="PartHead"/>
        <w:rPr>
          <w:lang w:val="pl-PL"/>
        </w:rPr>
      </w:pPr>
      <w:r>
        <w:rPr>
          <w:lang w:val="pl-PL"/>
        </w:rPr>
        <w:t>I</w:t>
      </w:r>
      <w:r w:rsidR="00EC3246" w:rsidRPr="003E0C18">
        <w:rPr>
          <w:lang w:val="pl-PL"/>
        </w:rPr>
        <w:t>nstal</w:t>
      </w:r>
      <w:r>
        <w:rPr>
          <w:lang w:val="pl-PL"/>
        </w:rPr>
        <w:t>owanie</w:t>
      </w:r>
      <w:r w:rsidR="00EC3246" w:rsidRPr="003E0C18">
        <w:rPr>
          <w:lang w:val="pl-PL"/>
        </w:rPr>
        <w:t xml:space="preserve"> protok</w:t>
      </w:r>
      <w:r>
        <w:rPr>
          <w:lang w:val="pl-PL"/>
        </w:rPr>
        <w:t>o</w:t>
      </w:r>
      <w:r w:rsidR="00EC3246" w:rsidRPr="003E0C18">
        <w:rPr>
          <w:lang w:val="pl-PL"/>
        </w:rPr>
        <w:t>ł</w:t>
      </w:r>
      <w:r>
        <w:rPr>
          <w:lang w:val="pl-PL"/>
        </w:rPr>
        <w:t>u</w:t>
      </w:r>
      <w:r w:rsidR="00EC3246" w:rsidRPr="003E0C18">
        <w:rPr>
          <w:lang w:val="pl-PL"/>
        </w:rPr>
        <w:t xml:space="preserve"> IPv6 na komputerze z systemem Windows XP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W części 1 </w:t>
      </w:r>
      <w:r w:rsidR="00F03F78">
        <w:rPr>
          <w:lang w:val="pl-PL"/>
        </w:rPr>
        <w:t>zainstalujesz</w:t>
      </w:r>
      <w:r w:rsidRPr="003E0C18">
        <w:rPr>
          <w:lang w:val="pl-PL"/>
        </w:rPr>
        <w:t xml:space="preserve"> protokół IPv6 na komputerze z systemem Windows XP. Możesz również skorzystać z dwóch poleceń, aby wyświetlić adresy IPv6 przypisane do komputera.</w:t>
      </w:r>
    </w:p>
    <w:p w:rsidR="0013367F" w:rsidRPr="003E0C18" w:rsidRDefault="00EC3246" w:rsidP="009D1D75">
      <w:pPr>
        <w:pStyle w:val="StepHead"/>
        <w:rPr>
          <w:lang w:val="pl-PL"/>
        </w:rPr>
      </w:pPr>
      <w:r w:rsidRPr="003E0C18">
        <w:rPr>
          <w:lang w:val="pl-PL"/>
        </w:rPr>
        <w:t>Zainstaluj protokół IPv6.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W oknie wiersza polecenia wpisz </w:t>
      </w:r>
      <w:r w:rsidRPr="003E0C18">
        <w:rPr>
          <w:b/>
          <w:lang w:val="pl-PL"/>
        </w:rPr>
        <w:t xml:space="preserve">ipv6 </w:t>
      </w:r>
      <w:proofErr w:type="spellStart"/>
      <w:proofErr w:type="gramStart"/>
      <w:r w:rsidRPr="003E0C18">
        <w:rPr>
          <w:b/>
          <w:lang w:val="pl-PL"/>
        </w:rPr>
        <w:t>install</w:t>
      </w:r>
      <w:proofErr w:type="spellEnd"/>
      <w:r w:rsidRPr="003E0C18">
        <w:rPr>
          <w:b/>
          <w:lang w:val="pl-PL"/>
        </w:rPr>
        <w:t xml:space="preserve"> </w:t>
      </w:r>
      <w:r w:rsidRPr="003E0C18">
        <w:rPr>
          <w:lang w:val="pl-PL"/>
        </w:rPr>
        <w:t xml:space="preserve">, </w:t>
      </w:r>
      <w:proofErr w:type="gramEnd"/>
      <w:r w:rsidRPr="003E0C18">
        <w:rPr>
          <w:lang w:val="pl-PL"/>
        </w:rPr>
        <w:t>aby zainstalować protokół IPv6.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drawing>
          <wp:inline distT="0" distB="0" distL="0" distR="0" wp14:anchorId="0928FB21" wp14:editId="0436DEBC">
            <wp:extent cx="5486400" cy="895350"/>
            <wp:effectExtent l="19050" t="0" r="0" b="0"/>
            <wp:docPr id="10" name="Rysun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>Sprawdź informacje dotyczące adresu IPv6.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Aby wyświetlić informacje o adresie IPv6, użyj polecenia </w:t>
      </w:r>
      <w:proofErr w:type="spellStart"/>
      <w:r w:rsidRPr="003E0C18">
        <w:rPr>
          <w:b/>
          <w:lang w:val="pl-PL"/>
        </w:rPr>
        <w:t>ipconfig</w:t>
      </w:r>
      <w:proofErr w:type="spellEnd"/>
      <w:r w:rsidRPr="003E0C18">
        <w:rPr>
          <w:b/>
          <w:lang w:val="pl-PL"/>
        </w:rPr>
        <w:t xml:space="preserve"> / </w:t>
      </w:r>
      <w:proofErr w:type="spellStart"/>
      <w:r w:rsidRPr="003E0C18">
        <w:rPr>
          <w:b/>
          <w:lang w:val="pl-PL"/>
        </w:rPr>
        <w:t>all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lastRenderedPageBreak/>
        <w:drawing>
          <wp:inline distT="0" distB="0" distL="0" distR="0" wp14:anchorId="480B792F" wp14:editId="7B34E453">
            <wp:extent cx="5486400" cy="4391025"/>
            <wp:effectExtent l="19050" t="0" r="0" b="0"/>
            <wp:docPr id="1" name="Rysun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PartHead"/>
        <w:jc w:val="both"/>
        <w:rPr>
          <w:lang w:val="pl-PL"/>
        </w:rPr>
      </w:pPr>
      <w:r w:rsidRPr="003E0C18">
        <w:rPr>
          <w:lang w:val="pl-PL"/>
        </w:rPr>
        <w:t>Uży</w:t>
      </w:r>
      <w:r w:rsidR="00BE6623">
        <w:rPr>
          <w:lang w:val="pl-PL"/>
        </w:rPr>
        <w:t>wanie</w:t>
      </w:r>
      <w:r w:rsidRPr="003E0C18">
        <w:rPr>
          <w:lang w:val="pl-PL"/>
        </w:rPr>
        <w:t xml:space="preserve"> narzędzia wiersza poleceń sieciowych (</w:t>
      </w:r>
      <w:proofErr w:type="spellStart"/>
      <w:r w:rsidRPr="003E0C18">
        <w:rPr>
          <w:lang w:val="pl-PL"/>
        </w:rPr>
        <w:t>netsh</w:t>
      </w:r>
      <w:proofErr w:type="spellEnd"/>
      <w:r w:rsidRPr="003E0C18">
        <w:rPr>
          <w:lang w:val="pl-PL"/>
        </w:rPr>
        <w:t>)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>Powłoka sieciowa (</w:t>
      </w:r>
      <w:proofErr w:type="spellStart"/>
      <w:r w:rsidRPr="003E0C18">
        <w:rPr>
          <w:b/>
          <w:lang w:val="pl-PL"/>
        </w:rPr>
        <w:t>netsh</w:t>
      </w:r>
      <w:proofErr w:type="spellEnd"/>
      <w:r w:rsidR="00F03F78">
        <w:rPr>
          <w:lang w:val="pl-PL"/>
        </w:rPr>
        <w:t>) to narzędzie wiersza poleceń</w:t>
      </w:r>
      <w:r w:rsidRPr="003E0C18">
        <w:rPr>
          <w:lang w:val="pl-PL"/>
        </w:rPr>
        <w:t xml:space="preserve"> </w:t>
      </w:r>
      <w:r w:rsidR="00F03F78">
        <w:rPr>
          <w:lang w:val="pl-PL"/>
        </w:rPr>
        <w:t>dostępne</w:t>
      </w:r>
      <w:r w:rsidRPr="003E0C18">
        <w:rPr>
          <w:lang w:val="pl-PL"/>
        </w:rPr>
        <w:t xml:space="preserve"> w Windows XP oraz w nowszych systemach operacyjnych Windows, takich jak Windows Vista i Windows 7. Pozwala ono konfigurować informacje dotyczące adresu IPv6 w sieci LAN. W części 2 będziesz korzystać z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do konfiguracji statycznego adresu IPv6 dla interfejsu sieci lokalnej w Windows XP. Aby wyświetlić informacje o adresie interfejsu IPv6 sieci lokalnej, można również skorzystać z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>Praca wewnątrz narzędzia powłoki sieciowej.</w:t>
      </w:r>
    </w:p>
    <w:p w:rsidR="0013367F" w:rsidRPr="003E0C18" w:rsidRDefault="00EC3246" w:rsidP="003E0C18">
      <w:pPr>
        <w:pStyle w:val="SubStepAlpha"/>
        <w:jc w:val="both"/>
        <w:rPr>
          <w:lang w:val="pl-PL"/>
        </w:rPr>
      </w:pPr>
      <w:r w:rsidRPr="003E0C18">
        <w:rPr>
          <w:lang w:val="pl-PL"/>
        </w:rPr>
        <w:t>W oknie wiersza polecenia wpisz polece</w:t>
      </w:r>
      <w:r w:rsidR="00F03F78">
        <w:rPr>
          <w:lang w:val="pl-PL"/>
        </w:rPr>
        <w:t>ń</w:t>
      </w:r>
      <w:r w:rsidRPr="003E0C18">
        <w:rPr>
          <w:lang w:val="pl-PL"/>
        </w:rPr>
        <w:t xml:space="preserve">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, a następnie naciśnij </w:t>
      </w:r>
      <w:proofErr w:type="gramStart"/>
      <w:r w:rsidRPr="003E0C18">
        <w:rPr>
          <w:lang w:val="pl-PL"/>
        </w:rPr>
        <w:t>klawisz</w:t>
      </w:r>
      <w:proofErr w:type="gramEnd"/>
      <w:r w:rsidRPr="003E0C18">
        <w:rPr>
          <w:lang w:val="pl-PL"/>
        </w:rPr>
        <w:t xml:space="preserve"> </w:t>
      </w:r>
      <w:proofErr w:type="spellStart"/>
      <w:r w:rsidRPr="008F36FF">
        <w:rPr>
          <w:b/>
          <w:lang w:val="pl-PL"/>
        </w:rPr>
        <w:t>Enter</w:t>
      </w:r>
      <w:proofErr w:type="spellEnd"/>
      <w:r w:rsidRPr="003E0C18">
        <w:rPr>
          <w:lang w:val="pl-PL"/>
        </w:rPr>
        <w:t xml:space="preserve">, aby uruchomić narzędzie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. Nastąpi zmiana wiersza polecenia z </w:t>
      </w:r>
      <w:r w:rsidRPr="003E0C18">
        <w:rPr>
          <w:b/>
          <w:lang w:val="pl-PL"/>
        </w:rPr>
        <w:t>C: \&gt;</w:t>
      </w:r>
      <w:r w:rsidRPr="003E0C18">
        <w:rPr>
          <w:lang w:val="pl-PL"/>
        </w:rPr>
        <w:t xml:space="preserve"> na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b/>
          <w:lang w:val="pl-PL"/>
        </w:rPr>
        <w:t>&gt;</w:t>
      </w:r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drawing>
          <wp:inline distT="0" distB="0" distL="0" distR="0" wp14:anchorId="372845B4" wp14:editId="1F06E67B">
            <wp:extent cx="5486400" cy="733425"/>
            <wp:effectExtent l="19050" t="0" r="0" b="0"/>
            <wp:docPr id="3" name="Rysun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ubStepAlpha"/>
        <w:jc w:val="both"/>
        <w:rPr>
          <w:lang w:val="pl-PL"/>
        </w:rPr>
      </w:pPr>
      <w:r w:rsidRPr="003E0C18">
        <w:rPr>
          <w:lang w:val="pl-PL"/>
        </w:rPr>
        <w:t>W wierszu polece</w:t>
      </w:r>
      <w:r w:rsidR="00F03F78">
        <w:rPr>
          <w:lang w:val="pl-PL"/>
        </w:rPr>
        <w:t>ń</w:t>
      </w:r>
      <w:r w:rsidRPr="003E0C18">
        <w:rPr>
          <w:lang w:val="pl-PL"/>
        </w:rPr>
        <w:t xml:space="preserve"> wpisz znak zapytania (</w:t>
      </w:r>
      <w:r w:rsidRPr="003E0C18">
        <w:rPr>
          <w:b/>
          <w:lang w:val="pl-PL"/>
        </w:rPr>
        <w:t>?</w:t>
      </w:r>
      <w:r w:rsidRPr="003E0C18">
        <w:rPr>
          <w:lang w:val="pl-PL"/>
        </w:rPr>
        <w:t xml:space="preserve">) </w:t>
      </w:r>
      <w:proofErr w:type="gramStart"/>
      <w:r w:rsidRPr="003E0C18">
        <w:rPr>
          <w:lang w:val="pl-PL"/>
        </w:rPr>
        <w:t>a</w:t>
      </w:r>
      <w:proofErr w:type="gramEnd"/>
      <w:r w:rsidRPr="003E0C18">
        <w:rPr>
          <w:lang w:val="pl-PL"/>
        </w:rPr>
        <w:t xml:space="preserve"> następnie naciśnij klawisz </w:t>
      </w:r>
      <w:proofErr w:type="spellStart"/>
      <w:r w:rsidRPr="003E0C18">
        <w:rPr>
          <w:lang w:val="pl-PL"/>
        </w:rPr>
        <w:t>Enter</w:t>
      </w:r>
      <w:proofErr w:type="spellEnd"/>
      <w:r w:rsidRPr="003E0C18">
        <w:rPr>
          <w:lang w:val="pl-PL"/>
        </w:rPr>
        <w:t>, aby wyświetlić listę dostępnych poleceń i parametrów.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lastRenderedPageBreak/>
        <w:drawing>
          <wp:inline distT="0" distB="0" distL="0" distR="0" wp14:anchorId="66C4B939" wp14:editId="2402B6EC">
            <wp:extent cx="5486400" cy="4381500"/>
            <wp:effectExtent l="19050" t="0" r="0" b="0"/>
            <wp:docPr id="4" name="Rysun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ubStepAlpha"/>
        <w:jc w:val="both"/>
        <w:rPr>
          <w:lang w:val="pl-PL"/>
        </w:rPr>
      </w:pPr>
      <w:r w:rsidRPr="003E0C18">
        <w:rPr>
          <w:lang w:val="pl-PL"/>
        </w:rPr>
        <w:t xml:space="preserve">Wpisz </w:t>
      </w:r>
      <w:proofErr w:type="gramStart"/>
      <w:r w:rsidRPr="003E0C18">
        <w:rPr>
          <w:b/>
          <w:lang w:val="pl-PL"/>
        </w:rPr>
        <w:t>interface ?</w:t>
      </w:r>
      <w:r w:rsidRPr="003E0C18">
        <w:rPr>
          <w:lang w:val="pl-PL"/>
        </w:rPr>
        <w:t>,</w:t>
      </w:r>
      <w:bookmarkStart w:id="0" w:name="_GoBack"/>
      <w:r w:rsidR="00DF3D43">
        <w:rPr>
          <w:lang w:val="pl-PL"/>
        </w:rPr>
        <w:t xml:space="preserve"> </w:t>
      </w:r>
      <w:bookmarkEnd w:id="0"/>
      <w:r w:rsidRPr="003E0C18">
        <w:rPr>
          <w:lang w:val="pl-PL"/>
        </w:rPr>
        <w:t>a</w:t>
      </w:r>
      <w:proofErr w:type="gramEnd"/>
      <w:r w:rsidRPr="003E0C18">
        <w:rPr>
          <w:lang w:val="pl-PL"/>
        </w:rPr>
        <w:t xml:space="preserve"> następnie naciśnij klawisz </w:t>
      </w:r>
      <w:proofErr w:type="spellStart"/>
      <w:r w:rsidRPr="003E0C18">
        <w:rPr>
          <w:lang w:val="pl-PL"/>
        </w:rPr>
        <w:t>Enter</w:t>
      </w:r>
      <w:proofErr w:type="spellEnd"/>
      <w:r w:rsidRPr="003E0C18">
        <w:rPr>
          <w:lang w:val="pl-PL"/>
        </w:rPr>
        <w:t>, aby wyświetlić listę poleceń interfejsu.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drawing>
          <wp:inline distT="0" distB="0" distL="0" distR="0" wp14:anchorId="1B23CFD8" wp14:editId="47E95248">
            <wp:extent cx="5486400" cy="2428875"/>
            <wp:effectExtent l="19050" t="0" r="0" b="0"/>
            <wp:docPr id="5" name="Rysun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803266">
      <w:pPr>
        <w:pStyle w:val="BodyTextL50"/>
        <w:tabs>
          <w:tab w:val="left" w:pos="284"/>
        </w:tabs>
        <w:ind w:left="284"/>
        <w:jc w:val="both"/>
        <w:rPr>
          <w:lang w:val="pl-PL"/>
        </w:rPr>
      </w:pPr>
      <w:r w:rsidRPr="003E0C18">
        <w:rPr>
          <w:b/>
          <w:lang w:val="pl-PL"/>
        </w:rPr>
        <w:t>Uwaga</w:t>
      </w:r>
      <w:r w:rsidRPr="003E0C18">
        <w:rPr>
          <w:lang w:val="pl-PL"/>
        </w:rPr>
        <w:t xml:space="preserve">: Na każdym poziomie w narzędziu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możesz użyć znaku zapytania (</w:t>
      </w:r>
      <w:r w:rsidRPr="003E0C18">
        <w:rPr>
          <w:b/>
          <w:lang w:val="pl-PL"/>
        </w:rPr>
        <w:t>?</w:t>
      </w:r>
      <w:r w:rsidRPr="003E0C18">
        <w:rPr>
          <w:lang w:val="pl-PL"/>
        </w:rPr>
        <w:t xml:space="preserve">) </w:t>
      </w:r>
      <w:proofErr w:type="gramStart"/>
      <w:r w:rsidRPr="003E0C18">
        <w:rPr>
          <w:lang w:val="pl-PL"/>
        </w:rPr>
        <w:t>aby</w:t>
      </w:r>
      <w:proofErr w:type="gramEnd"/>
      <w:r w:rsidRPr="003E0C18">
        <w:rPr>
          <w:lang w:val="pl-PL"/>
        </w:rPr>
        <w:t xml:space="preserve"> uzyskać listę dostępnych poleceń i opcji. Strzałka w górę pozwala na przewijanie poprzednich poleceń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. Narzędzie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pozwala również używać poleceń skróconych, po</w:t>
      </w:r>
      <w:r w:rsidR="00F03F78">
        <w:rPr>
          <w:lang w:val="pl-PL"/>
        </w:rPr>
        <w:t>d</w:t>
      </w:r>
      <w:r w:rsidRPr="003E0C18">
        <w:rPr>
          <w:lang w:val="pl-PL"/>
        </w:rPr>
        <w:t xml:space="preserve"> </w:t>
      </w:r>
      <w:proofErr w:type="gramStart"/>
      <w:r w:rsidRPr="003E0C18">
        <w:rPr>
          <w:lang w:val="pl-PL"/>
        </w:rPr>
        <w:t>warunkiem że</w:t>
      </w:r>
      <w:proofErr w:type="gramEnd"/>
      <w:r w:rsidRPr="003E0C18">
        <w:rPr>
          <w:lang w:val="pl-PL"/>
        </w:rPr>
        <w:t xml:space="preserve"> są one unikalne.</w:t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>Skonfiguruj adres statyczny IPv6 dla interfejsu sieciowego w lokalnej sieci (LAN).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Aby dodać statyczny adres IPv6 dla interfejsu LAN, należy użyć polecenia </w:t>
      </w:r>
      <w:r w:rsidRPr="003E0C18">
        <w:rPr>
          <w:b/>
          <w:lang w:val="pl-PL"/>
        </w:rPr>
        <w:t xml:space="preserve">interface ipv6 </w:t>
      </w:r>
      <w:proofErr w:type="spellStart"/>
      <w:r w:rsidRPr="003E0C18">
        <w:rPr>
          <w:b/>
          <w:lang w:val="pl-PL"/>
        </w:rPr>
        <w:t>add</w:t>
      </w:r>
      <w:proofErr w:type="spellEnd"/>
      <w:r w:rsidRPr="003E0C18">
        <w:rPr>
          <w:b/>
          <w:lang w:val="pl-PL"/>
        </w:rPr>
        <w:t xml:space="preserve"> </w:t>
      </w:r>
      <w:proofErr w:type="spellStart"/>
      <w:r w:rsidRPr="003E0C18">
        <w:rPr>
          <w:b/>
          <w:lang w:val="pl-PL"/>
        </w:rPr>
        <w:t>address</w:t>
      </w:r>
      <w:proofErr w:type="spellEnd"/>
      <w:r w:rsidRPr="003E0C18">
        <w:rPr>
          <w:lang w:val="pl-PL"/>
        </w:rPr>
        <w:t xml:space="preserve"> wewnątrz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lastRenderedPageBreak/>
        <w:drawing>
          <wp:inline distT="0" distB="0" distL="0" distR="0" wp14:anchorId="5D067290" wp14:editId="5B65F96B">
            <wp:extent cx="5486400" cy="447675"/>
            <wp:effectExtent l="19050" t="0" r="0" b="0"/>
            <wp:docPr id="6" name="Rysun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 xml:space="preserve">Wyświetl informacje o adresie IPv6 za pomocą narzędzia </w:t>
      </w:r>
      <w:proofErr w:type="spellStart"/>
      <w:r w:rsidRPr="003E0C18">
        <w:rPr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Informacje o adresie IPv6 można wyświetlić za pomocą polecenia </w:t>
      </w:r>
      <w:r w:rsidRPr="003E0C18">
        <w:rPr>
          <w:b/>
          <w:lang w:val="pl-PL"/>
        </w:rPr>
        <w:t xml:space="preserve">interface ipv6 show </w:t>
      </w:r>
      <w:proofErr w:type="spellStart"/>
      <w:r w:rsidRPr="003E0C18">
        <w:rPr>
          <w:b/>
          <w:lang w:val="pl-PL"/>
        </w:rPr>
        <w:t>address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Visual"/>
        <w:rPr>
          <w:b/>
          <w:lang w:val="pl-PL"/>
        </w:rPr>
      </w:pPr>
      <w:r w:rsidRPr="003E0C18">
        <w:rPr>
          <w:noProof/>
          <w:lang w:val="pl-PL" w:eastAsia="pl-PL"/>
        </w:rPr>
        <w:drawing>
          <wp:inline distT="0" distB="0" distL="0" distR="0" wp14:anchorId="721E686B" wp14:editId="1398B5F4">
            <wp:extent cx="5486400" cy="3209925"/>
            <wp:effectExtent l="19050" t="0" r="0" b="0"/>
            <wp:docPr id="7" name="Rysun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 xml:space="preserve">Wyjdź z narzędzia </w:t>
      </w:r>
      <w:proofErr w:type="spellStart"/>
      <w:r w:rsidRPr="003E0C18">
        <w:rPr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Aby wyjść z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użyj polecenia </w:t>
      </w:r>
      <w:proofErr w:type="spellStart"/>
      <w:r w:rsidRPr="003E0C18">
        <w:rPr>
          <w:b/>
          <w:lang w:val="pl-PL"/>
        </w:rPr>
        <w:t>exit</w:t>
      </w:r>
      <w:proofErr w:type="spellEnd"/>
      <w:r w:rsidRPr="003E0C18">
        <w:rPr>
          <w:lang w:val="pl-PL"/>
        </w:rPr>
        <w:t xml:space="preserve">. 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drawing>
          <wp:inline distT="0" distB="0" distL="0" distR="0" wp14:anchorId="64890677" wp14:editId="77C9DF3D">
            <wp:extent cx="5486400" cy="438150"/>
            <wp:effectExtent l="19050" t="0" r="0" b="0"/>
            <wp:docPr id="8" name="Rysun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StepHead"/>
        <w:jc w:val="both"/>
        <w:rPr>
          <w:lang w:val="pl-PL"/>
        </w:rPr>
      </w:pPr>
      <w:r w:rsidRPr="003E0C18">
        <w:rPr>
          <w:lang w:val="pl-PL"/>
        </w:rPr>
        <w:t xml:space="preserve">Wykonywanie instrukcji </w:t>
      </w:r>
      <w:proofErr w:type="spellStart"/>
      <w:r w:rsidRPr="003E0C18">
        <w:rPr>
          <w:lang w:val="pl-PL"/>
        </w:rPr>
        <w:t>netsh</w:t>
      </w:r>
      <w:proofErr w:type="spellEnd"/>
      <w:r w:rsidRPr="003E0C18">
        <w:rPr>
          <w:lang w:val="pl-PL"/>
        </w:rPr>
        <w:t xml:space="preserve"> w wierszu poleceń.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 xml:space="preserve">Wszystkie instrukcje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można wykonać w oknie wiersza polecenia poza narzędziem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 xml:space="preserve"> wpisując odpowiednią instrukcję poprzedzoną poleceniem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.</w:t>
      </w:r>
    </w:p>
    <w:p w:rsidR="0013367F" w:rsidRPr="003E0C18" w:rsidRDefault="00EC3246" w:rsidP="003E0C18">
      <w:pPr>
        <w:pStyle w:val="Visual"/>
        <w:rPr>
          <w:lang w:val="pl-PL"/>
        </w:rPr>
      </w:pPr>
      <w:r w:rsidRPr="003E0C18">
        <w:rPr>
          <w:noProof/>
          <w:lang w:val="pl-PL" w:eastAsia="pl-PL"/>
        </w:rPr>
        <w:lastRenderedPageBreak/>
        <w:drawing>
          <wp:inline distT="0" distB="0" distL="0" distR="0" wp14:anchorId="16862977" wp14:editId="33F168E9">
            <wp:extent cx="5486400" cy="3333750"/>
            <wp:effectExtent l="19050" t="0" r="0" b="0"/>
            <wp:docPr id="9" name="Rysun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7F" w:rsidRPr="003E0C18" w:rsidRDefault="00EC3246" w:rsidP="003E0C18">
      <w:pPr>
        <w:pStyle w:val="LabSection"/>
        <w:jc w:val="both"/>
        <w:rPr>
          <w:lang w:val="pl-PL"/>
        </w:rPr>
      </w:pPr>
      <w:r w:rsidRPr="003E0C18">
        <w:rPr>
          <w:lang w:val="pl-PL"/>
        </w:rPr>
        <w:t>Do przemyślenia</w:t>
      </w:r>
    </w:p>
    <w:p w:rsidR="0013367F" w:rsidRPr="003E0C18" w:rsidRDefault="00EC3246" w:rsidP="003E0C18">
      <w:pPr>
        <w:pStyle w:val="ReflectionQ"/>
        <w:jc w:val="both"/>
        <w:rPr>
          <w:lang w:val="pl-PL"/>
        </w:rPr>
      </w:pPr>
      <w:r w:rsidRPr="003E0C18">
        <w:rPr>
          <w:lang w:val="pl-PL"/>
        </w:rPr>
        <w:t xml:space="preserve">Jak można odnowić dane adresowe twojego interfejs LAN za pomocą narzędzia </w:t>
      </w:r>
      <w:proofErr w:type="spellStart"/>
      <w:r w:rsidRPr="003E0C18">
        <w:rPr>
          <w:b/>
          <w:lang w:val="pl-PL"/>
        </w:rPr>
        <w:t>netsh</w:t>
      </w:r>
      <w:proofErr w:type="spellEnd"/>
      <w:r w:rsidRPr="003E0C18">
        <w:rPr>
          <w:lang w:val="pl-PL"/>
        </w:rPr>
        <w:t>?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b/>
          <w:lang w:val="pl-PL"/>
        </w:rPr>
        <w:t>Wskazówka</w:t>
      </w:r>
      <w:r w:rsidRPr="003E0C18">
        <w:rPr>
          <w:lang w:val="pl-PL"/>
        </w:rPr>
        <w:t>: Użyj znaku zapytania (</w:t>
      </w:r>
      <w:r w:rsidRPr="003E0C18">
        <w:rPr>
          <w:b/>
          <w:lang w:val="pl-PL"/>
        </w:rPr>
        <w:t>?</w:t>
      </w:r>
      <w:r w:rsidRPr="003E0C18">
        <w:rPr>
          <w:lang w:val="pl-PL"/>
        </w:rPr>
        <w:t xml:space="preserve">), </w:t>
      </w:r>
      <w:proofErr w:type="gramStart"/>
      <w:r w:rsidRPr="003E0C18">
        <w:rPr>
          <w:lang w:val="pl-PL"/>
        </w:rPr>
        <w:t>aby</w:t>
      </w:r>
      <w:proofErr w:type="gramEnd"/>
      <w:r w:rsidRPr="003E0C18">
        <w:rPr>
          <w:lang w:val="pl-PL"/>
        </w:rPr>
        <w:t xml:space="preserve"> uzyskać informację o kolejności parametrów.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>_______________________________________________________</w:t>
      </w:r>
      <w:r w:rsidR="00803266">
        <w:rPr>
          <w:lang w:val="pl-PL"/>
        </w:rPr>
        <w:t>_____________________________</w:t>
      </w:r>
    </w:p>
    <w:p w:rsidR="0013367F" w:rsidRPr="003E0C18" w:rsidRDefault="00EC3246" w:rsidP="003E0C18">
      <w:pPr>
        <w:pStyle w:val="BodyTextL25"/>
        <w:jc w:val="both"/>
        <w:rPr>
          <w:lang w:val="pl-PL"/>
        </w:rPr>
      </w:pPr>
      <w:r w:rsidRPr="003E0C18">
        <w:rPr>
          <w:lang w:val="pl-PL"/>
        </w:rPr>
        <w:t>_______________________________________________________</w:t>
      </w:r>
      <w:r w:rsidR="00803266">
        <w:rPr>
          <w:lang w:val="pl-PL"/>
        </w:rPr>
        <w:t>_____________________________</w:t>
      </w:r>
    </w:p>
    <w:sectPr w:rsidR="0013367F" w:rsidRPr="003E0C18" w:rsidSect="00803266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D2" w:rsidRDefault="00512DD2" w:rsidP="0090659A">
      <w:pPr>
        <w:spacing w:after="0" w:line="240" w:lineRule="auto"/>
      </w:pPr>
      <w:r>
        <w:separator/>
      </w:r>
    </w:p>
    <w:p w:rsidR="00512DD2" w:rsidRDefault="00512DD2"/>
    <w:p w:rsidR="00512DD2" w:rsidRDefault="00512DD2"/>
    <w:p w:rsidR="00512DD2" w:rsidRDefault="00512DD2"/>
    <w:p w:rsidR="00512DD2" w:rsidRDefault="00512DD2"/>
  </w:endnote>
  <w:endnote w:type="continuationSeparator" w:id="0">
    <w:p w:rsidR="00512DD2" w:rsidRDefault="00512DD2" w:rsidP="0090659A">
      <w:pPr>
        <w:spacing w:after="0" w:line="240" w:lineRule="auto"/>
      </w:pPr>
      <w:r>
        <w:continuationSeparator/>
      </w:r>
    </w:p>
    <w:p w:rsidR="00512DD2" w:rsidRDefault="00512DD2"/>
    <w:p w:rsidR="00512DD2" w:rsidRDefault="00512DD2"/>
    <w:p w:rsidR="00512DD2" w:rsidRDefault="00512DD2"/>
    <w:p w:rsidR="00512DD2" w:rsidRDefault="00512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9861D2" w:rsidP="008D4B5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="008C4307">
      <w:rPr>
        <w:szCs w:val="16"/>
      </w:rPr>
      <w:tab/>
    </w:r>
    <w:r w:rsidR="008C4307" w:rsidRPr="0090659A">
      <w:rPr>
        <w:szCs w:val="16"/>
      </w:rPr>
      <w:t xml:space="preserve">Strona </w:t>
    </w:r>
    <w:r w:rsidR="00087689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PAGE </w:instrText>
    </w:r>
    <w:r w:rsidR="00087689" w:rsidRPr="0090659A">
      <w:rPr>
        <w:b/>
        <w:szCs w:val="16"/>
      </w:rPr>
      <w:fldChar w:fldCharType="separate"/>
    </w:r>
    <w:r w:rsidR="003924AF">
      <w:rPr>
        <w:b/>
        <w:noProof/>
        <w:szCs w:val="16"/>
      </w:rPr>
      <w:t>4</w:t>
    </w:r>
    <w:r w:rsidR="00087689" w:rsidRPr="0090659A">
      <w:rPr>
        <w:b/>
        <w:szCs w:val="16"/>
      </w:rPr>
      <w:fldChar w:fldCharType="end"/>
    </w:r>
    <w:r w:rsidR="008C4307" w:rsidRPr="0090659A">
      <w:rPr>
        <w:szCs w:val="16"/>
      </w:rPr>
      <w:t xml:space="preserve"> z </w:t>
    </w:r>
    <w:r w:rsidR="00087689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NUMPAGES  </w:instrText>
    </w:r>
    <w:r w:rsidR="00087689" w:rsidRPr="0090659A">
      <w:rPr>
        <w:b/>
        <w:szCs w:val="16"/>
      </w:rPr>
      <w:fldChar w:fldCharType="separate"/>
    </w:r>
    <w:r w:rsidR="003924AF">
      <w:rPr>
        <w:b/>
        <w:noProof/>
        <w:szCs w:val="16"/>
      </w:rPr>
      <w:t>5</w:t>
    </w:r>
    <w:r w:rsidR="00087689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9861D2" w:rsidP="008D4B5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="008C4307">
      <w:rPr>
        <w:szCs w:val="16"/>
      </w:rPr>
      <w:tab/>
    </w:r>
    <w:r w:rsidR="008C4307" w:rsidRPr="0090659A">
      <w:rPr>
        <w:szCs w:val="16"/>
      </w:rPr>
      <w:t xml:space="preserve"> Strona </w:t>
    </w:r>
    <w:r w:rsidR="00087689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PAGE </w:instrText>
    </w:r>
    <w:r w:rsidR="00087689" w:rsidRPr="0090659A">
      <w:rPr>
        <w:b/>
        <w:szCs w:val="16"/>
      </w:rPr>
      <w:fldChar w:fldCharType="separate"/>
    </w:r>
    <w:r w:rsidR="003924AF">
      <w:rPr>
        <w:b/>
        <w:noProof/>
        <w:szCs w:val="16"/>
      </w:rPr>
      <w:t>1</w:t>
    </w:r>
    <w:r w:rsidR="00087689" w:rsidRPr="0090659A">
      <w:rPr>
        <w:b/>
        <w:szCs w:val="16"/>
      </w:rPr>
      <w:fldChar w:fldCharType="end"/>
    </w:r>
    <w:r w:rsidR="008C4307" w:rsidRPr="0090659A">
      <w:rPr>
        <w:szCs w:val="16"/>
      </w:rPr>
      <w:t xml:space="preserve"> z </w:t>
    </w:r>
    <w:r w:rsidR="00087689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NUMPAGES  </w:instrText>
    </w:r>
    <w:r w:rsidR="00087689" w:rsidRPr="0090659A">
      <w:rPr>
        <w:b/>
        <w:szCs w:val="16"/>
      </w:rPr>
      <w:fldChar w:fldCharType="separate"/>
    </w:r>
    <w:r w:rsidR="003924AF">
      <w:rPr>
        <w:b/>
        <w:noProof/>
        <w:szCs w:val="16"/>
      </w:rPr>
      <w:t>5</w:t>
    </w:r>
    <w:r w:rsidR="00087689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D2" w:rsidRDefault="00512DD2" w:rsidP="0090659A">
      <w:pPr>
        <w:spacing w:after="0" w:line="240" w:lineRule="auto"/>
      </w:pPr>
      <w:r>
        <w:separator/>
      </w:r>
    </w:p>
    <w:p w:rsidR="00512DD2" w:rsidRDefault="00512DD2"/>
    <w:p w:rsidR="00512DD2" w:rsidRDefault="00512DD2"/>
    <w:p w:rsidR="00512DD2" w:rsidRDefault="00512DD2"/>
    <w:p w:rsidR="00512DD2" w:rsidRDefault="00512DD2"/>
  </w:footnote>
  <w:footnote w:type="continuationSeparator" w:id="0">
    <w:p w:rsidR="00512DD2" w:rsidRDefault="00512DD2" w:rsidP="0090659A">
      <w:pPr>
        <w:spacing w:after="0" w:line="240" w:lineRule="auto"/>
      </w:pPr>
      <w:r>
        <w:continuationSeparator/>
      </w:r>
    </w:p>
    <w:p w:rsidR="00512DD2" w:rsidRDefault="00512DD2"/>
    <w:p w:rsidR="00512DD2" w:rsidRDefault="00512DD2"/>
    <w:p w:rsidR="00512DD2" w:rsidRDefault="00512DD2"/>
    <w:p w:rsidR="00512DD2" w:rsidRDefault="00512D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Pr="009861D2" w:rsidRDefault="00B41780" w:rsidP="00C52BA6">
    <w:pPr>
      <w:pStyle w:val="PageHead"/>
      <w:rPr>
        <w:lang w:val="pl-PL"/>
      </w:rPr>
    </w:pPr>
    <w:r w:rsidRPr="009861D2">
      <w:rPr>
        <w:lang w:val="pl-PL"/>
      </w:rPr>
      <w:t>Instalowanie protokołu IPv6 i przypisywanie adresów hostów w systemie Windows XP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D52050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17B8DAA3" wp14:editId="29A85205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7242C58C"/>
    <w:styleLink w:val="PartStepSubStepList"/>
    <w:lvl w:ilvl="0">
      <w:start w:val="1"/>
      <w:numFmt w:val="decimal"/>
      <w:pStyle w:val="PartHead"/>
      <w:lvlText w:val="Część 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słek, Andrzej">
    <w15:presenceInfo w15:providerId="AD" w15:userId="S-1-5-21-1031365138-3339961924-844776402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C5"/>
    <w:rsid w:val="00004175"/>
    <w:rsid w:val="000059C9"/>
    <w:rsid w:val="000160F7"/>
    <w:rsid w:val="00016D5B"/>
    <w:rsid w:val="00016F30"/>
    <w:rsid w:val="0002047C"/>
    <w:rsid w:val="00020C32"/>
    <w:rsid w:val="00021B9A"/>
    <w:rsid w:val="000242D6"/>
    <w:rsid w:val="00024EE5"/>
    <w:rsid w:val="00041AF6"/>
    <w:rsid w:val="00044E62"/>
    <w:rsid w:val="00050BA4"/>
    <w:rsid w:val="00051738"/>
    <w:rsid w:val="00052548"/>
    <w:rsid w:val="00060696"/>
    <w:rsid w:val="000769CF"/>
    <w:rsid w:val="000815D8"/>
    <w:rsid w:val="00085CC6"/>
    <w:rsid w:val="00087689"/>
    <w:rsid w:val="00090C07"/>
    <w:rsid w:val="00091E8D"/>
    <w:rsid w:val="0009378D"/>
    <w:rsid w:val="00097163"/>
    <w:rsid w:val="000A22C8"/>
    <w:rsid w:val="000A4FA8"/>
    <w:rsid w:val="000B2344"/>
    <w:rsid w:val="000B7DE5"/>
    <w:rsid w:val="000C3B72"/>
    <w:rsid w:val="000D55B4"/>
    <w:rsid w:val="000E0121"/>
    <w:rsid w:val="000E65F0"/>
    <w:rsid w:val="000F072C"/>
    <w:rsid w:val="000F6743"/>
    <w:rsid w:val="001006C2"/>
    <w:rsid w:val="00107B2B"/>
    <w:rsid w:val="00112AC5"/>
    <w:rsid w:val="001133DD"/>
    <w:rsid w:val="00120CBE"/>
    <w:rsid w:val="001261C4"/>
    <w:rsid w:val="0013367F"/>
    <w:rsid w:val="001366EC"/>
    <w:rsid w:val="0014219C"/>
    <w:rsid w:val="001425ED"/>
    <w:rsid w:val="00154E3A"/>
    <w:rsid w:val="00157902"/>
    <w:rsid w:val="001616AE"/>
    <w:rsid w:val="00163164"/>
    <w:rsid w:val="00166253"/>
    <w:rsid w:val="001710C0"/>
    <w:rsid w:val="00172AFB"/>
    <w:rsid w:val="00173D36"/>
    <w:rsid w:val="001772B8"/>
    <w:rsid w:val="00180FBF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26549"/>
    <w:rsid w:val="00242E3A"/>
    <w:rsid w:val="002504E7"/>
    <w:rsid w:val="002506CF"/>
    <w:rsid w:val="0025107F"/>
    <w:rsid w:val="00260CD4"/>
    <w:rsid w:val="002639D8"/>
    <w:rsid w:val="00265F77"/>
    <w:rsid w:val="00266C83"/>
    <w:rsid w:val="00273648"/>
    <w:rsid w:val="002768DC"/>
    <w:rsid w:val="00292E36"/>
    <w:rsid w:val="00294282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2887"/>
    <w:rsid w:val="00305025"/>
    <w:rsid w:val="003056EB"/>
    <w:rsid w:val="003071FF"/>
    <w:rsid w:val="00310652"/>
    <w:rsid w:val="00312F8D"/>
    <w:rsid w:val="0031371D"/>
    <w:rsid w:val="0031789F"/>
    <w:rsid w:val="00320788"/>
    <w:rsid w:val="00322619"/>
    <w:rsid w:val="003233A3"/>
    <w:rsid w:val="0034455D"/>
    <w:rsid w:val="0034604B"/>
    <w:rsid w:val="00346D17"/>
    <w:rsid w:val="00347972"/>
    <w:rsid w:val="0035469B"/>
    <w:rsid w:val="003559CC"/>
    <w:rsid w:val="003569D7"/>
    <w:rsid w:val="003608AC"/>
    <w:rsid w:val="0036465A"/>
    <w:rsid w:val="0039034B"/>
    <w:rsid w:val="003924AF"/>
    <w:rsid w:val="00392C65"/>
    <w:rsid w:val="00392ED5"/>
    <w:rsid w:val="003A19DC"/>
    <w:rsid w:val="003A1B45"/>
    <w:rsid w:val="003A515A"/>
    <w:rsid w:val="003B46FC"/>
    <w:rsid w:val="003B5767"/>
    <w:rsid w:val="003B7605"/>
    <w:rsid w:val="003C6BCA"/>
    <w:rsid w:val="003C7902"/>
    <w:rsid w:val="003D0BFF"/>
    <w:rsid w:val="003E0C18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0F6E"/>
    <w:rsid w:val="00431654"/>
    <w:rsid w:val="00434926"/>
    <w:rsid w:val="00444217"/>
    <w:rsid w:val="004478F4"/>
    <w:rsid w:val="00450F7A"/>
    <w:rsid w:val="00452C6D"/>
    <w:rsid w:val="00455E0B"/>
    <w:rsid w:val="004659EE"/>
    <w:rsid w:val="00490941"/>
    <w:rsid w:val="004936C2"/>
    <w:rsid w:val="0049379C"/>
    <w:rsid w:val="004A1CA0"/>
    <w:rsid w:val="004A22E9"/>
    <w:rsid w:val="004A4ACD"/>
    <w:rsid w:val="004A5BC5"/>
    <w:rsid w:val="004A6F6B"/>
    <w:rsid w:val="004B023D"/>
    <w:rsid w:val="004B33A9"/>
    <w:rsid w:val="004C0909"/>
    <w:rsid w:val="004C3F97"/>
    <w:rsid w:val="004D01F2"/>
    <w:rsid w:val="004D3339"/>
    <w:rsid w:val="004D353F"/>
    <w:rsid w:val="004D36D7"/>
    <w:rsid w:val="004D682B"/>
    <w:rsid w:val="004E53A1"/>
    <w:rsid w:val="004E6152"/>
    <w:rsid w:val="004F344A"/>
    <w:rsid w:val="00504ED4"/>
    <w:rsid w:val="00507A57"/>
    <w:rsid w:val="00510639"/>
    <w:rsid w:val="00512DD2"/>
    <w:rsid w:val="00516142"/>
    <w:rsid w:val="00520027"/>
    <w:rsid w:val="0052093C"/>
    <w:rsid w:val="00521B31"/>
    <w:rsid w:val="00522469"/>
    <w:rsid w:val="0052400A"/>
    <w:rsid w:val="00536F43"/>
    <w:rsid w:val="005510BA"/>
    <w:rsid w:val="00553C02"/>
    <w:rsid w:val="00554B4E"/>
    <w:rsid w:val="00556C02"/>
    <w:rsid w:val="00561A43"/>
    <w:rsid w:val="00561BB2"/>
    <w:rsid w:val="00563249"/>
    <w:rsid w:val="00564C50"/>
    <w:rsid w:val="00570A65"/>
    <w:rsid w:val="00573C92"/>
    <w:rsid w:val="005762B1"/>
    <w:rsid w:val="00580456"/>
    <w:rsid w:val="00580E73"/>
    <w:rsid w:val="00593386"/>
    <w:rsid w:val="00596998"/>
    <w:rsid w:val="005A6E62"/>
    <w:rsid w:val="005C65E6"/>
    <w:rsid w:val="005D2B29"/>
    <w:rsid w:val="005D354A"/>
    <w:rsid w:val="005E3235"/>
    <w:rsid w:val="005E4176"/>
    <w:rsid w:val="005E65B5"/>
    <w:rsid w:val="005F3AE9"/>
    <w:rsid w:val="006007BB"/>
    <w:rsid w:val="00601DC0"/>
    <w:rsid w:val="006034CB"/>
    <w:rsid w:val="006131CE"/>
    <w:rsid w:val="0061336B"/>
    <w:rsid w:val="00617D6E"/>
    <w:rsid w:val="00622D61"/>
    <w:rsid w:val="00624198"/>
    <w:rsid w:val="006428E5"/>
    <w:rsid w:val="00644958"/>
    <w:rsid w:val="006578A6"/>
    <w:rsid w:val="00672919"/>
    <w:rsid w:val="00680F30"/>
    <w:rsid w:val="00686587"/>
    <w:rsid w:val="006904CF"/>
    <w:rsid w:val="006929F7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2110"/>
    <w:rsid w:val="006C30A0"/>
    <w:rsid w:val="006C35FF"/>
    <w:rsid w:val="006C57F2"/>
    <w:rsid w:val="006C5949"/>
    <w:rsid w:val="006C6832"/>
    <w:rsid w:val="006D1370"/>
    <w:rsid w:val="006D2C28"/>
    <w:rsid w:val="006D3C65"/>
    <w:rsid w:val="006D3FC1"/>
    <w:rsid w:val="006D7CBD"/>
    <w:rsid w:val="006E6581"/>
    <w:rsid w:val="006E71DF"/>
    <w:rsid w:val="006F1CC4"/>
    <w:rsid w:val="006F2A86"/>
    <w:rsid w:val="006F3163"/>
    <w:rsid w:val="00705FEC"/>
    <w:rsid w:val="0071147A"/>
    <w:rsid w:val="0071185D"/>
    <w:rsid w:val="007222AD"/>
    <w:rsid w:val="007267CF"/>
    <w:rsid w:val="00731F3F"/>
    <w:rsid w:val="00733BAB"/>
    <w:rsid w:val="007436BF"/>
    <w:rsid w:val="007443E9"/>
    <w:rsid w:val="007452CA"/>
    <w:rsid w:val="00745DCE"/>
    <w:rsid w:val="00753D89"/>
    <w:rsid w:val="00755C9B"/>
    <w:rsid w:val="00760FE4"/>
    <w:rsid w:val="00763D8B"/>
    <w:rsid w:val="007657F6"/>
    <w:rsid w:val="00765E47"/>
    <w:rsid w:val="0077125A"/>
    <w:rsid w:val="00786F58"/>
    <w:rsid w:val="00787CC1"/>
    <w:rsid w:val="00792F4E"/>
    <w:rsid w:val="0079398D"/>
    <w:rsid w:val="00796C25"/>
    <w:rsid w:val="00797F7A"/>
    <w:rsid w:val="007A287C"/>
    <w:rsid w:val="007A3070"/>
    <w:rsid w:val="007A3B2A"/>
    <w:rsid w:val="007B5522"/>
    <w:rsid w:val="007C0EE0"/>
    <w:rsid w:val="007C1B71"/>
    <w:rsid w:val="007C2FBB"/>
    <w:rsid w:val="007C7164"/>
    <w:rsid w:val="007C74F0"/>
    <w:rsid w:val="007D1984"/>
    <w:rsid w:val="007D1E22"/>
    <w:rsid w:val="007D2AFE"/>
    <w:rsid w:val="007E33C5"/>
    <w:rsid w:val="007E3FEA"/>
    <w:rsid w:val="007F0A0B"/>
    <w:rsid w:val="007F3A60"/>
    <w:rsid w:val="007F3D0B"/>
    <w:rsid w:val="007F7C94"/>
    <w:rsid w:val="00802340"/>
    <w:rsid w:val="00803266"/>
    <w:rsid w:val="00810E4B"/>
    <w:rsid w:val="00814BAA"/>
    <w:rsid w:val="00824295"/>
    <w:rsid w:val="008313F3"/>
    <w:rsid w:val="008350CA"/>
    <w:rsid w:val="008405BB"/>
    <w:rsid w:val="008443F5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426A"/>
    <w:rsid w:val="008852BA"/>
    <w:rsid w:val="00890108"/>
    <w:rsid w:val="00893877"/>
    <w:rsid w:val="008952A0"/>
    <w:rsid w:val="0089532C"/>
    <w:rsid w:val="00896165"/>
    <w:rsid w:val="00896681"/>
    <w:rsid w:val="008A12B9"/>
    <w:rsid w:val="008A2749"/>
    <w:rsid w:val="008A3A90"/>
    <w:rsid w:val="008B06D4"/>
    <w:rsid w:val="008B07E1"/>
    <w:rsid w:val="008B4F20"/>
    <w:rsid w:val="008B7FFD"/>
    <w:rsid w:val="008C2920"/>
    <w:rsid w:val="008C4307"/>
    <w:rsid w:val="008D23DF"/>
    <w:rsid w:val="008D4B53"/>
    <w:rsid w:val="008D73BF"/>
    <w:rsid w:val="008D7F09"/>
    <w:rsid w:val="008E5B64"/>
    <w:rsid w:val="008E7DAA"/>
    <w:rsid w:val="008F0094"/>
    <w:rsid w:val="008F340F"/>
    <w:rsid w:val="008F36FF"/>
    <w:rsid w:val="00903523"/>
    <w:rsid w:val="0090659A"/>
    <w:rsid w:val="00911080"/>
    <w:rsid w:val="00915986"/>
    <w:rsid w:val="00917624"/>
    <w:rsid w:val="00930386"/>
    <w:rsid w:val="009309F5"/>
    <w:rsid w:val="00933237"/>
    <w:rsid w:val="00933F28"/>
    <w:rsid w:val="009476C0"/>
    <w:rsid w:val="0095030D"/>
    <w:rsid w:val="00961934"/>
    <w:rsid w:val="00963E34"/>
    <w:rsid w:val="00964DFA"/>
    <w:rsid w:val="0098155C"/>
    <w:rsid w:val="00983B77"/>
    <w:rsid w:val="009861D2"/>
    <w:rsid w:val="00996053"/>
    <w:rsid w:val="009A0B2F"/>
    <w:rsid w:val="009A1CF4"/>
    <w:rsid w:val="009A37D7"/>
    <w:rsid w:val="009A4E17"/>
    <w:rsid w:val="009A6955"/>
    <w:rsid w:val="009B341C"/>
    <w:rsid w:val="009B5747"/>
    <w:rsid w:val="009D1D75"/>
    <w:rsid w:val="009D2C27"/>
    <w:rsid w:val="009E2309"/>
    <w:rsid w:val="009E42B9"/>
    <w:rsid w:val="009F4C2E"/>
    <w:rsid w:val="00A014A3"/>
    <w:rsid w:val="00A0412D"/>
    <w:rsid w:val="00A21211"/>
    <w:rsid w:val="00A34E7F"/>
    <w:rsid w:val="00A46F0A"/>
    <w:rsid w:val="00A46F25"/>
    <w:rsid w:val="00A47CC2"/>
    <w:rsid w:val="00A60146"/>
    <w:rsid w:val="00A622C4"/>
    <w:rsid w:val="00A6283D"/>
    <w:rsid w:val="00A71BA8"/>
    <w:rsid w:val="00A751A0"/>
    <w:rsid w:val="00A754B4"/>
    <w:rsid w:val="00A807C1"/>
    <w:rsid w:val="00A83374"/>
    <w:rsid w:val="00A875CD"/>
    <w:rsid w:val="00A96172"/>
    <w:rsid w:val="00AB0D6A"/>
    <w:rsid w:val="00AB43B3"/>
    <w:rsid w:val="00AB49B9"/>
    <w:rsid w:val="00AB5D4D"/>
    <w:rsid w:val="00AB758A"/>
    <w:rsid w:val="00AC027E"/>
    <w:rsid w:val="00AC1E7E"/>
    <w:rsid w:val="00AC507D"/>
    <w:rsid w:val="00AC66E4"/>
    <w:rsid w:val="00AD4578"/>
    <w:rsid w:val="00AD68E9"/>
    <w:rsid w:val="00AE56C0"/>
    <w:rsid w:val="00AF217D"/>
    <w:rsid w:val="00AF5833"/>
    <w:rsid w:val="00B00914"/>
    <w:rsid w:val="00B02A8E"/>
    <w:rsid w:val="00B052EE"/>
    <w:rsid w:val="00B1081F"/>
    <w:rsid w:val="00B27499"/>
    <w:rsid w:val="00B3010D"/>
    <w:rsid w:val="00B35151"/>
    <w:rsid w:val="00B41780"/>
    <w:rsid w:val="00B41EA6"/>
    <w:rsid w:val="00B433F2"/>
    <w:rsid w:val="00B458E8"/>
    <w:rsid w:val="00B5397B"/>
    <w:rsid w:val="00B62809"/>
    <w:rsid w:val="00B70525"/>
    <w:rsid w:val="00B721A1"/>
    <w:rsid w:val="00B73808"/>
    <w:rsid w:val="00B7675A"/>
    <w:rsid w:val="00B81898"/>
    <w:rsid w:val="00B8606B"/>
    <w:rsid w:val="00B878E7"/>
    <w:rsid w:val="00B97278"/>
    <w:rsid w:val="00B97943"/>
    <w:rsid w:val="00BA1D0B"/>
    <w:rsid w:val="00BA6972"/>
    <w:rsid w:val="00BB1E0D"/>
    <w:rsid w:val="00BB4D9B"/>
    <w:rsid w:val="00BB73FF"/>
    <w:rsid w:val="00BB7688"/>
    <w:rsid w:val="00BC7CAC"/>
    <w:rsid w:val="00BD6D76"/>
    <w:rsid w:val="00BE56B3"/>
    <w:rsid w:val="00BE6623"/>
    <w:rsid w:val="00BF04E8"/>
    <w:rsid w:val="00BF16BF"/>
    <w:rsid w:val="00BF3D3F"/>
    <w:rsid w:val="00BF4D1F"/>
    <w:rsid w:val="00C00E2D"/>
    <w:rsid w:val="00C02A73"/>
    <w:rsid w:val="00C063D2"/>
    <w:rsid w:val="00C07FD9"/>
    <w:rsid w:val="00C10955"/>
    <w:rsid w:val="00C11C4D"/>
    <w:rsid w:val="00C14DA5"/>
    <w:rsid w:val="00C1712C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72DDF"/>
    <w:rsid w:val="00C90311"/>
    <w:rsid w:val="00C91C26"/>
    <w:rsid w:val="00CA73D5"/>
    <w:rsid w:val="00CB0FFC"/>
    <w:rsid w:val="00CC1C87"/>
    <w:rsid w:val="00CC3000"/>
    <w:rsid w:val="00CC4859"/>
    <w:rsid w:val="00CC7A35"/>
    <w:rsid w:val="00CD072A"/>
    <w:rsid w:val="00CD7F73"/>
    <w:rsid w:val="00CE26C5"/>
    <w:rsid w:val="00CE36AF"/>
    <w:rsid w:val="00CE54DD"/>
    <w:rsid w:val="00CF09C1"/>
    <w:rsid w:val="00CF0DA5"/>
    <w:rsid w:val="00CF5D31"/>
    <w:rsid w:val="00CF5F3B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050"/>
    <w:rsid w:val="00D52582"/>
    <w:rsid w:val="00D56A0E"/>
    <w:rsid w:val="00D57AD3"/>
    <w:rsid w:val="00D635FE"/>
    <w:rsid w:val="00D729DE"/>
    <w:rsid w:val="00D75B6A"/>
    <w:rsid w:val="00D84BDA"/>
    <w:rsid w:val="00D854C6"/>
    <w:rsid w:val="00D876A8"/>
    <w:rsid w:val="00D87F26"/>
    <w:rsid w:val="00D93063"/>
    <w:rsid w:val="00D933B0"/>
    <w:rsid w:val="00D977E8"/>
    <w:rsid w:val="00D97B16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D43EA"/>
    <w:rsid w:val="00DD5609"/>
    <w:rsid w:val="00DE6F44"/>
    <w:rsid w:val="00DF3D43"/>
    <w:rsid w:val="00E037D9"/>
    <w:rsid w:val="00E04927"/>
    <w:rsid w:val="00E130EB"/>
    <w:rsid w:val="00E162CD"/>
    <w:rsid w:val="00E17FA5"/>
    <w:rsid w:val="00E21A44"/>
    <w:rsid w:val="00E26930"/>
    <w:rsid w:val="00E27257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486E"/>
    <w:rsid w:val="00EA4FA3"/>
    <w:rsid w:val="00EB001B"/>
    <w:rsid w:val="00EB6C33"/>
    <w:rsid w:val="00EC3246"/>
    <w:rsid w:val="00ED48A6"/>
    <w:rsid w:val="00ED6019"/>
    <w:rsid w:val="00ED7830"/>
    <w:rsid w:val="00EE35D8"/>
    <w:rsid w:val="00EE3909"/>
    <w:rsid w:val="00EF4205"/>
    <w:rsid w:val="00EF53D4"/>
    <w:rsid w:val="00EF5939"/>
    <w:rsid w:val="00F01714"/>
    <w:rsid w:val="00F0258F"/>
    <w:rsid w:val="00F02D06"/>
    <w:rsid w:val="00F03F78"/>
    <w:rsid w:val="00F056E5"/>
    <w:rsid w:val="00F06FDD"/>
    <w:rsid w:val="00F10819"/>
    <w:rsid w:val="00F16F35"/>
    <w:rsid w:val="00F2229D"/>
    <w:rsid w:val="00F25ABB"/>
    <w:rsid w:val="00F27963"/>
    <w:rsid w:val="00F30446"/>
    <w:rsid w:val="00F31372"/>
    <w:rsid w:val="00F4135D"/>
    <w:rsid w:val="00F41F1B"/>
    <w:rsid w:val="00F45622"/>
    <w:rsid w:val="00F46BD9"/>
    <w:rsid w:val="00F60BE0"/>
    <w:rsid w:val="00F6280E"/>
    <w:rsid w:val="00F67F2A"/>
    <w:rsid w:val="00F7050A"/>
    <w:rsid w:val="00F75533"/>
    <w:rsid w:val="00FA00C3"/>
    <w:rsid w:val="00FA0472"/>
    <w:rsid w:val="00FA3811"/>
    <w:rsid w:val="00FA3B9F"/>
    <w:rsid w:val="00FA3F06"/>
    <w:rsid w:val="00FA4A26"/>
    <w:rsid w:val="00FA7084"/>
    <w:rsid w:val="00FA7BEF"/>
    <w:rsid w:val="00FB1929"/>
    <w:rsid w:val="00FB5FD9"/>
    <w:rsid w:val="00FC4FE2"/>
    <w:rsid w:val="00FD33AB"/>
    <w:rsid w:val="00FD4724"/>
    <w:rsid w:val="00FD4A68"/>
    <w:rsid w:val="00FD57D7"/>
    <w:rsid w:val="00FD68ED"/>
    <w:rsid w:val="00FE2824"/>
    <w:rsid w:val="00FE661F"/>
    <w:rsid w:val="00FF0400"/>
    <w:rsid w:val="00FF25AC"/>
    <w:rsid w:val="00FF3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Tekstpodstawowy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8D4B53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8D4B53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Tekstpodstawowy1"/>
    <w:next w:val="Tekstpodstawowy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Tekstpodstawowy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Tekstpodstawowy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9C22-CAEE-4510-91B7-BCEDF787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567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spennock</dc:creator>
  <cp:lastModifiedBy>Roman K</cp:lastModifiedBy>
  <cp:revision>22</cp:revision>
  <cp:lastPrinted>2015-04-27T08:01:00Z</cp:lastPrinted>
  <dcterms:created xsi:type="dcterms:W3CDTF">2014-09-22T12:56:00Z</dcterms:created>
  <dcterms:modified xsi:type="dcterms:W3CDTF">2015-07-06T14:58:00Z</dcterms:modified>
</cp:coreProperties>
</file>